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CANDIDATURA A DELEGADO/AS DE 2º CURSO HUPR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FACULTAD DE MEDICINA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(ANEXO 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(Convocadas por Resolución de 21 de noviembre de 2025)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Ind w:w="-118.0" w:type="dxa"/>
        <w:tblLayout w:type="fixed"/>
        <w:tblLook w:val="0000"/>
      </w:tblPr>
      <w:tblGrid>
        <w:gridCol w:w="8664"/>
        <w:tblGridChange w:id="0">
          <w:tblGrid>
            <w:gridCol w:w="86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D./Dña. ______________________________________________, 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D.N.I.: _______________________,  y cumpliendo los requisitos  del artículo 72.2 del Reglamento Electoral General de la Universidad de Cádiz,   presenta su    candidatura a  las  Elecciones a Delegado de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2º curso del Hospital Universitario de Puerto Real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convocadas por Resolución de  21 de noviembre de 2025.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Lugar y fecha: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Fdo.: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ILMO. SR. PRESIDENTE DE LA JUNTA ELECTORAL DE LA FACULTAD DE MEDICINA</w:t>
      </w:r>
      <w:r w:rsidDel="00000000" w:rsidR="00000000" w:rsidRPr="00000000">
        <w:rPr>
          <w:rtl w:val="0"/>
        </w:rPr>
      </w:r>
    </w:p>
    <w:sectPr>
      <w:headerReference r:id="rId9" w:type="default"/>
      <w:pgSz w:h="16837" w:w="11905" w:orient="portrait"/>
      <w:pgMar w:bottom="851" w:top="993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vertAlign w:val="baseline"/>
      </w:rPr>
      <w:pict>
        <v:shape id="_x0000_s0" style="width:143pt;height:66pt;" type="#_x0000_t75">
          <v:imagedata r:id="rId1" o:title=""/>
        </v:shape>
        <o:OLEObject DrawAspect="Content" r:id="rId2" ObjectID="_1629131527" ProgID="Word.Picture.8" ShapeID="_x0000_s0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4500"/>
        <w:tab w:val="left" w:leader="none" w:pos="738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b w:val="1"/>
      <w:color w:val="808080"/>
      <w:w w:val="100"/>
      <w:position w:val="-1"/>
      <w:sz w:val="16"/>
      <w:effect w:val="none"/>
      <w:vertAlign w:val="baseline"/>
      <w:cs w:val="0"/>
      <w:em w:val="none"/>
      <w:lang w:bidi="ar-SA" w:eastAsia="ar-SA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b w:val="0"/>
      <w:i w:val="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b w:val="0"/>
      <w:i w:val="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b w:val="0"/>
      <w:i w:val="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Fuentedepárrafopredeter.">
    <w:name w:val="WW-Fuente de párrafo predeter."/>
    <w:next w:val="WW-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denotaalpie">
    <w:name w:val="Símbolo de nota al pie"/>
    <w:next w:val="Símbolo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alpie1">
    <w:name w:val="Ref. de nota al pie1"/>
    <w:next w:val="Ref.denotaalpie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Símbolodenotafinal">
    <w:name w:val="Símbolo de nota final"/>
    <w:next w:val="Símbolodenota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Símbolodenotafinal">
    <w:name w:val="WW-Símbolo de nota final"/>
    <w:next w:val="WW-Símbolodenotafina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alfinal">
    <w:name w:val="Ref. de nota al final"/>
    <w:next w:val="Ref.denotaal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Tahom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">
    <w:name w:val="Encabezado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extoencabezado">
    <w:name w:val="Texto encabezado"/>
    <w:basedOn w:val="Título1"/>
    <w:next w:val="Textoencabezado"/>
    <w:autoRedefine w:val="0"/>
    <w:hidden w:val="0"/>
    <w:qFormat w:val="0"/>
    <w:pPr>
      <w:keepNext w:val="0"/>
      <w:widowControl w:val="0"/>
      <w:numPr>
        <w:ilvl w:val="0"/>
        <w:numId w:val="0"/>
      </w:numPr>
      <w:tabs>
        <w:tab w:val="left" w:leader="none" w:pos="4500"/>
        <w:tab w:val="left" w:leader="none" w:pos="7380"/>
      </w:tabs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 Unicode MS" w:eastAsia="Arial Unicode MS" w:hAnsi="Arial Unicode MS"/>
      <w:b w:val="0"/>
      <w:color w:val="808080"/>
      <w:w w:val="100"/>
      <w:position w:val="-1"/>
      <w:sz w:val="16"/>
      <w:effect w:val="none"/>
      <w:vertAlign w:val="baseline"/>
      <w:cs w:val="0"/>
      <w:em w:val="none"/>
      <w:lang w:bidi="ar-SA" w:eastAsia="ar-SA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s-ES"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GfPdvKcWb1sxxUL3TGkyikOAg==">CgMxLjAyCGguZ2pkZ3hzOAByITFiNXk2MXJWYm9DYjl3UGZJUmFBUDlNNjZpRWlZdjNBTw==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2023-10-27T06:39:00Z</dcterms:created>
  <dc:creator>ccampos</dc:creator>
</cp:coreProperties>
</file>